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2908" w:tblpY="2052"/>
        <w:tblOverlap w:val="never"/>
        <w:tblW w:w="55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36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Segment type</w:t>
            </w:r>
          </w:p>
        </w:tc>
        <w:tc>
          <w:tcPr>
            <w:tcW w:w="3672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Cumulative amount of crystals / 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G1</w:t>
            </w:r>
          </w:p>
        </w:tc>
        <w:tc>
          <w:tcPr>
            <w:tcW w:w="367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G4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G5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457.2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G11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G6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G7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G8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G9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345.27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G10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447.35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921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G11</w:t>
            </w:r>
          </w:p>
        </w:tc>
        <w:tc>
          <w:tcPr>
            <w:tcW w:w="367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</w:t>
            </w:r>
          </w:p>
        </w:tc>
      </w:tr>
    </w:tbl>
    <w:p>
      <w:pPr>
        <w:jc w:val="center"/>
        <w:rPr>
          <w:sz w:val="28"/>
          <w:szCs w:val="36"/>
        </w:rPr>
      </w:pPr>
      <w:bookmarkStart w:id="0" w:name="_GoBack"/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Fig. 14 Cumulative Crystallization Change in Tube Section.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xMDY3NDdlN2RkODI1MmE2MDgxZWQ1ZTA5MTgzN2IifQ=="/>
  </w:docVars>
  <w:rsids>
    <w:rsidRoot w:val="47BA5215"/>
    <w:rsid w:val="46185BDC"/>
    <w:rsid w:val="47BA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rFonts w:asciiTheme="minorAscii" w:hAnsiTheme="minorAscii"/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177</Characters>
  <Lines>0</Lines>
  <Paragraphs>0</Paragraphs>
  <TotalTime>1</TotalTime>
  <ScaleCrop>false</ScaleCrop>
  <LinksUpToDate>false</LinksUpToDate>
  <CharactersWithSpaces>190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2022-05-23T15:49:00Z</dcterms:created>
  <dc:creator>一念思量</dc:creator>
  <cp:lastModifiedBy>一念思量</cp:lastModifiedBy>
  <dcterms:modified xsi:type="dcterms:W3CDTF">2022-05-23T15:54:57Z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E2C52F8435234846BACF04F26F641774</vt:lpwstr>
  </property>
</Properties>
</file>